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1" w:type="pct"/>
        <w:tblBorders>
          <w:bottom w:val="single" w:sz="6" w:space="0" w:color="404040" w:themeColor="text1" w:themeTint="BF"/>
          <w:insideH w:val="single" w:sz="18" w:space="0" w:color="808080" w:themeColor="background1" w:themeShade="80"/>
          <w:insideV w:val="single" w:sz="6" w:space="0" w:color="404040" w:themeColor="text1" w:themeTint="B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146"/>
        <w:gridCol w:w="6354"/>
      </w:tblGrid>
      <w:tr>
        <w:trPr>
          <w:trHeight w:val="1204"/>
        </w:trPr>
        <w:tc>
          <w:tcPr>
            <w:tcW w:w="3145" w:type="dxa"/>
          </w:tcPr>
          <w:p>
            <w:pPr>
              <w:pStyle w:val="Header"/>
              <w:ind w:left="360"/>
              <w:jc w:val="right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48895</wp:posOffset>
                  </wp:positionV>
                  <wp:extent cx="1533525" cy="523875"/>
                  <wp:effectExtent l="0" t="0" r="9525" b="9525"/>
                  <wp:wrapNone/>
                  <wp:docPr id="1" name="Picture 83" descr="C:\Users\Violetel\Desktop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:\Users\Violetel\Desktop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</w:t>
            </w:r>
          </w:p>
          <w:p>
            <w:pPr>
              <w:spacing w:after="0" w:line="240" w:lineRule="auto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 xml:space="preserve">     ȘCOALA GIMNAZIALĂ  92</w:t>
            </w:r>
          </w:p>
        </w:tc>
        <w:tc>
          <w:tcPr>
            <w:tcW w:w="6353" w:type="dxa"/>
          </w:tcPr>
          <w:p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Ministerul Educației  </w:t>
            </w:r>
          </w:p>
          <w:p>
            <w:pPr>
              <w:spacing w:after="0" w:line="240" w:lineRule="auto"/>
              <w:rPr>
                <w:rFonts w:ascii="Arial Narrow" w:hAnsi="Arial Narrow"/>
                <w:noProof/>
              </w:rPr>
            </w:pPr>
            <w:r>
              <w:rPr>
                <w:b/>
                <w:noProof/>
              </w:rPr>
              <w:t>ȘCOALA GIMNAZIALĂ nr. 92</w:t>
            </w:r>
          </w:p>
          <w:p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București, sector 3,  Aleea Vlăhița Nr. 1A     Tel./fax: 021 3480375 </w:t>
            </w:r>
          </w:p>
          <w:p>
            <w:pPr>
              <w:spacing w:after="0" w:line="240" w:lineRule="auto"/>
            </w:pPr>
            <w:r>
              <w:rPr>
                <w:noProof/>
              </w:rPr>
              <w:t xml:space="preserve">e-mail : </w:t>
            </w:r>
            <w:hyperlink r:id="rId5" w:history="1">
              <w:r>
                <w:rPr>
                  <w:rStyle w:val="Hyperlink"/>
                </w:rPr>
                <w:t>scoala.92@s3.ismb.ro</w:t>
              </w:r>
            </w:hyperlink>
            <w:r>
              <w:rPr>
                <w:rStyle w:val="Hyperlink"/>
              </w:rPr>
              <w:t xml:space="preserve">  </w:t>
            </w:r>
            <w:r>
              <w:t xml:space="preserve">Web: scoala92.invatamantsector3.ro  </w:t>
            </w:r>
          </w:p>
        </w:tc>
      </w:tr>
    </w:tbl>
    <w:p/>
    <w:p>
      <w:pPr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CURRICULUM LA DECIZIA ȘCOLII (DISCIPLINE OPȚIONALE) AN ȘCOLAR 2020-2021</w:t>
      </w:r>
    </w:p>
    <w:p>
      <w:pPr>
        <w:spacing w:after="0" w:line="240" w:lineRule="auto"/>
        <w:jc w:val="both"/>
        <w:rPr>
          <w:sz w:val="24"/>
          <w:szCs w:val="24"/>
          <w:lang w:val="fr-FR"/>
        </w:rPr>
      </w:pPr>
      <w:r>
        <w:rPr>
          <w:lang w:val="fr-FR"/>
        </w:rPr>
        <w:tab/>
      </w:r>
      <w:proofErr w:type="spellStart"/>
      <w:r>
        <w:rPr>
          <w:sz w:val="24"/>
          <w:szCs w:val="24"/>
          <w:lang w:val="fr-FR"/>
        </w:rPr>
        <w:t>Oferta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curriculară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opţională</w:t>
      </w:r>
      <w:proofErr w:type="spellEnd"/>
      <w:r>
        <w:rPr>
          <w:sz w:val="24"/>
          <w:szCs w:val="24"/>
          <w:lang w:val="fr-FR"/>
        </w:rPr>
        <w:t xml:space="preserve"> vine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întâmpinarea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nevoilor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comunităţii</w:t>
      </w:r>
      <w:proofErr w:type="spellEnd"/>
      <w:r>
        <w:rPr>
          <w:sz w:val="24"/>
          <w:szCs w:val="24"/>
          <w:lang w:val="fr-FR"/>
        </w:rPr>
        <w:t xml:space="preserve"> locale </w:t>
      </w:r>
      <w:proofErr w:type="spellStart"/>
      <w:r>
        <w:rPr>
          <w:sz w:val="24"/>
          <w:szCs w:val="24"/>
          <w:lang w:val="fr-FR"/>
        </w:rPr>
        <w:t>prin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cursuri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limba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engleză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educaţie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pentru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sănătate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lectura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și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abilitățile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viață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astfel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încât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elevii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poată</w:t>
      </w:r>
      <w:proofErr w:type="spellEnd"/>
      <w:r>
        <w:rPr>
          <w:sz w:val="24"/>
          <w:szCs w:val="24"/>
          <w:lang w:val="fr-FR"/>
        </w:rPr>
        <w:t xml:space="preserve"> face </w:t>
      </w:r>
      <w:proofErr w:type="spellStart"/>
      <w:r>
        <w:rPr>
          <w:sz w:val="24"/>
          <w:szCs w:val="24"/>
          <w:lang w:val="fr-FR"/>
        </w:rPr>
        <w:t>faţă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provocărilor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lumii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contemporane</w:t>
      </w:r>
      <w:proofErr w:type="spellEnd"/>
      <w:r>
        <w:rPr>
          <w:sz w:val="24"/>
          <w:szCs w:val="24"/>
          <w:lang w:val="fr-FR"/>
        </w:rPr>
        <w:t xml:space="preserve">, a </w:t>
      </w:r>
      <w:proofErr w:type="spellStart"/>
      <w:r>
        <w:rPr>
          <w:sz w:val="24"/>
          <w:szCs w:val="24"/>
          <w:lang w:val="fr-FR"/>
        </w:rPr>
        <w:t>noilor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tendințe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educaţionale</w:t>
      </w:r>
      <w:proofErr w:type="spellEnd"/>
      <w:r>
        <w:rPr>
          <w:sz w:val="24"/>
          <w:szCs w:val="24"/>
          <w:lang w:val="fr-FR"/>
        </w:rPr>
        <w:t xml:space="preserve">. </w:t>
      </w:r>
      <w:proofErr w:type="spellStart"/>
      <w:r>
        <w:rPr>
          <w:sz w:val="24"/>
          <w:szCs w:val="24"/>
          <w:lang w:val="fr-FR"/>
        </w:rPr>
        <w:t>Toate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cursurile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opţionale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din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oferta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şcolii</w:t>
      </w:r>
      <w:proofErr w:type="spellEnd"/>
      <w:r>
        <w:rPr>
          <w:sz w:val="24"/>
          <w:szCs w:val="24"/>
          <w:lang w:val="fr-FR"/>
        </w:rPr>
        <w:t xml:space="preserve"> au </w:t>
      </w:r>
      <w:proofErr w:type="spellStart"/>
      <w:r>
        <w:rPr>
          <w:sz w:val="24"/>
          <w:szCs w:val="24"/>
          <w:lang w:val="fr-FR"/>
        </w:rPr>
        <w:t>fost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alese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pentru</w:t>
      </w:r>
      <w:proofErr w:type="spellEnd"/>
      <w:r>
        <w:rPr>
          <w:sz w:val="24"/>
          <w:szCs w:val="24"/>
          <w:lang w:val="fr-FR"/>
        </w:rPr>
        <w:t xml:space="preserve"> a ajuta </w:t>
      </w:r>
      <w:proofErr w:type="spellStart"/>
      <w:r>
        <w:rPr>
          <w:sz w:val="24"/>
          <w:szCs w:val="24"/>
          <w:lang w:val="fr-FR"/>
        </w:rPr>
        <w:t>elevii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să</w:t>
      </w:r>
      <w:proofErr w:type="spellEnd"/>
      <w:r>
        <w:rPr>
          <w:sz w:val="24"/>
          <w:szCs w:val="24"/>
          <w:lang w:val="fr-FR"/>
        </w:rPr>
        <w:t xml:space="preserve"> se </w:t>
      </w:r>
      <w:proofErr w:type="spellStart"/>
      <w:r>
        <w:rPr>
          <w:sz w:val="24"/>
          <w:szCs w:val="24"/>
          <w:lang w:val="fr-FR"/>
        </w:rPr>
        <w:t>adapteze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cât</w:t>
      </w:r>
      <w:proofErr w:type="spellEnd"/>
      <w:r>
        <w:rPr>
          <w:sz w:val="24"/>
          <w:szCs w:val="24"/>
          <w:lang w:val="fr-FR"/>
        </w:rPr>
        <w:t xml:space="preserve"> mai </w:t>
      </w:r>
      <w:proofErr w:type="spellStart"/>
      <w:r>
        <w:rPr>
          <w:sz w:val="24"/>
          <w:szCs w:val="24"/>
          <w:lang w:val="fr-FR"/>
        </w:rPr>
        <w:t>repede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şi</w:t>
      </w:r>
      <w:proofErr w:type="spellEnd"/>
      <w:r>
        <w:rPr>
          <w:sz w:val="24"/>
          <w:szCs w:val="24"/>
          <w:lang w:val="fr-FR"/>
        </w:rPr>
        <w:t xml:space="preserve"> mai </w:t>
      </w:r>
      <w:proofErr w:type="spellStart"/>
      <w:r>
        <w:rPr>
          <w:sz w:val="24"/>
          <w:szCs w:val="24"/>
          <w:lang w:val="fr-FR"/>
        </w:rPr>
        <w:t>uşor</w:t>
      </w:r>
      <w:proofErr w:type="spellEnd"/>
      <w:r>
        <w:rPr>
          <w:sz w:val="24"/>
          <w:szCs w:val="24"/>
          <w:lang w:val="fr-FR"/>
        </w:rPr>
        <w:t xml:space="preserve"> la </w:t>
      </w:r>
      <w:proofErr w:type="spellStart"/>
      <w:r>
        <w:rPr>
          <w:sz w:val="24"/>
          <w:szCs w:val="24"/>
          <w:lang w:val="fr-FR"/>
        </w:rPr>
        <w:t>cerinţele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unei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societăţi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permanentă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schimbare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ele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fiind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concepute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pentru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răspunde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nevoilor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concrete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din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societatea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românească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secolului</w:t>
      </w:r>
      <w:proofErr w:type="spellEnd"/>
      <w:r>
        <w:rPr>
          <w:sz w:val="24"/>
          <w:szCs w:val="24"/>
          <w:lang w:val="fr-FR"/>
        </w:rPr>
        <w:t xml:space="preserve"> XXI. </w:t>
      </w:r>
      <w:proofErr w:type="spellStart"/>
      <w:r>
        <w:rPr>
          <w:sz w:val="24"/>
          <w:szCs w:val="24"/>
          <w:lang w:val="fr-FR"/>
        </w:rPr>
        <w:t>Cursurile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opţionale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răspund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nevoii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deschidere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şi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apropiere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şcolii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viaţa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reală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şi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piaţa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muncii</w:t>
      </w:r>
      <w:proofErr w:type="spellEnd"/>
      <w:r>
        <w:rPr>
          <w:sz w:val="24"/>
          <w:szCs w:val="24"/>
          <w:lang w:val="fr-FR"/>
        </w:rPr>
        <w:t xml:space="preserve">. </w:t>
      </w:r>
    </w:p>
    <w:p>
      <w:pPr>
        <w:spacing w:after="0"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proofErr w:type="spellStart"/>
      <w:r>
        <w:rPr>
          <w:sz w:val="24"/>
          <w:szCs w:val="24"/>
          <w:lang w:val="fr-FR"/>
        </w:rPr>
        <w:t>Aceste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cursuri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vizează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dezvoltarea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unui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comportament</w:t>
      </w:r>
      <w:proofErr w:type="spellEnd"/>
      <w:r>
        <w:rPr>
          <w:sz w:val="24"/>
          <w:szCs w:val="24"/>
          <w:lang w:val="fr-FR"/>
        </w:rPr>
        <w:t xml:space="preserve"> social </w:t>
      </w:r>
      <w:proofErr w:type="spellStart"/>
      <w:r>
        <w:rPr>
          <w:sz w:val="24"/>
          <w:szCs w:val="24"/>
          <w:lang w:val="fr-FR"/>
        </w:rPr>
        <w:t>activ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şi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responsabil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adecvat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unei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lumi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schimbare</w:t>
      </w:r>
      <w:proofErr w:type="spellEnd"/>
      <w:r>
        <w:rPr>
          <w:sz w:val="24"/>
          <w:szCs w:val="24"/>
          <w:lang w:val="fr-FR"/>
        </w:rPr>
        <w:t xml:space="preserve">.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cadrul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acestor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cursuri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elevii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dobândesc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informaţii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şi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îşi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formează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abilităţi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pentru</w:t>
      </w:r>
      <w:proofErr w:type="spellEnd"/>
      <w:r>
        <w:rPr>
          <w:sz w:val="24"/>
          <w:szCs w:val="24"/>
          <w:lang w:val="fr-FR"/>
        </w:rPr>
        <w:t xml:space="preserve"> a </w:t>
      </w:r>
      <w:proofErr w:type="spellStart"/>
      <w:r>
        <w:rPr>
          <w:sz w:val="24"/>
          <w:szCs w:val="24"/>
          <w:lang w:val="fr-FR"/>
        </w:rPr>
        <w:t>putea</w:t>
      </w:r>
      <w:proofErr w:type="spellEnd"/>
      <w:r>
        <w:rPr>
          <w:sz w:val="24"/>
          <w:szCs w:val="24"/>
          <w:lang w:val="fr-FR"/>
        </w:rPr>
        <w:t xml:space="preserve"> participa la </w:t>
      </w:r>
      <w:proofErr w:type="spellStart"/>
      <w:r>
        <w:rPr>
          <w:sz w:val="24"/>
          <w:szCs w:val="24"/>
          <w:lang w:val="fr-FR"/>
        </w:rPr>
        <w:t>luarea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deciziilor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şi</w:t>
      </w:r>
      <w:proofErr w:type="spellEnd"/>
      <w:r>
        <w:rPr>
          <w:sz w:val="24"/>
          <w:szCs w:val="24"/>
          <w:lang w:val="fr-FR"/>
        </w:rPr>
        <w:t xml:space="preserve"> la </w:t>
      </w:r>
      <w:proofErr w:type="spellStart"/>
      <w:r>
        <w:rPr>
          <w:sz w:val="24"/>
          <w:szCs w:val="24"/>
          <w:lang w:val="fr-FR"/>
        </w:rPr>
        <w:t>rezolvarea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problemelor</w:t>
      </w:r>
      <w:proofErr w:type="spellEnd"/>
      <w:r>
        <w:rPr>
          <w:sz w:val="24"/>
          <w:szCs w:val="24"/>
          <w:lang w:val="fr-FR"/>
        </w:rPr>
        <w:t xml:space="preserve">. </w:t>
      </w:r>
      <w:proofErr w:type="spellStart"/>
      <w:r>
        <w:rPr>
          <w:sz w:val="24"/>
          <w:szCs w:val="24"/>
          <w:lang w:val="fr-FR"/>
        </w:rPr>
        <w:t>Activităţile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susţin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valori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şi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atitudini</w:t>
      </w:r>
      <w:proofErr w:type="spellEnd"/>
      <w:r>
        <w:rPr>
          <w:sz w:val="24"/>
          <w:szCs w:val="24"/>
          <w:lang w:val="fr-FR"/>
        </w:rPr>
        <w:t xml:space="preserve"> care </w:t>
      </w:r>
      <w:proofErr w:type="spellStart"/>
      <w:r>
        <w:rPr>
          <w:sz w:val="24"/>
          <w:szCs w:val="24"/>
          <w:lang w:val="fr-FR"/>
        </w:rPr>
        <w:t>să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formeze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tineri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personalităţi</w:t>
      </w:r>
      <w:proofErr w:type="spellEnd"/>
      <w:r>
        <w:rPr>
          <w:sz w:val="24"/>
          <w:szCs w:val="24"/>
          <w:lang w:val="fr-FR"/>
        </w:rPr>
        <w:t xml:space="preserve"> autonome, </w:t>
      </w:r>
      <w:proofErr w:type="spellStart"/>
      <w:r>
        <w:rPr>
          <w:sz w:val="24"/>
          <w:szCs w:val="24"/>
          <w:lang w:val="fr-FR"/>
        </w:rPr>
        <w:t>cu</w:t>
      </w:r>
      <w:proofErr w:type="spellEnd"/>
      <w:r>
        <w:rPr>
          <w:sz w:val="24"/>
          <w:szCs w:val="24"/>
          <w:lang w:val="fr-FR"/>
        </w:rPr>
        <w:t xml:space="preserve"> spirit </w:t>
      </w:r>
      <w:proofErr w:type="spellStart"/>
      <w:r>
        <w:rPr>
          <w:sz w:val="24"/>
          <w:szCs w:val="24"/>
          <w:lang w:val="fr-FR"/>
        </w:rPr>
        <w:t>critic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capabili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îşi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susţină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punctul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vedere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să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îşi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argumenteze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opiniile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şi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să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dovadă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discernământ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deciziile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</w:t>
      </w:r>
      <w:proofErr w:type="spellEnd"/>
      <w:r>
        <w:rPr>
          <w:sz w:val="24"/>
          <w:szCs w:val="24"/>
          <w:lang w:val="fr-FR"/>
        </w:rPr>
        <w:t xml:space="preserve"> care le </w:t>
      </w:r>
      <w:proofErr w:type="spellStart"/>
      <w:r>
        <w:rPr>
          <w:sz w:val="24"/>
          <w:szCs w:val="24"/>
          <w:lang w:val="fr-FR"/>
        </w:rPr>
        <w:t>iau</w:t>
      </w:r>
      <w:proofErr w:type="spellEnd"/>
      <w:r>
        <w:rPr>
          <w:sz w:val="24"/>
          <w:szCs w:val="24"/>
          <w:lang w:val="fr-FR"/>
        </w:rPr>
        <w:t xml:space="preserve">. </w:t>
      </w:r>
    </w:p>
    <w:p>
      <w:pPr>
        <w:spacing w:after="0"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proofErr w:type="spellStart"/>
      <w:r>
        <w:rPr>
          <w:sz w:val="24"/>
          <w:szCs w:val="24"/>
          <w:lang w:val="fr-FR"/>
        </w:rPr>
        <w:t>Cursurile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opţionale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din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oferta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şcolii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sunt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îndreptate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către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cele</w:t>
      </w:r>
      <w:proofErr w:type="spellEnd"/>
      <w:r>
        <w:rPr>
          <w:sz w:val="24"/>
          <w:szCs w:val="24"/>
          <w:lang w:val="fr-FR"/>
        </w:rPr>
        <w:t xml:space="preserve"> 8 </w:t>
      </w:r>
      <w:proofErr w:type="spellStart"/>
      <w:r>
        <w:rPr>
          <w:sz w:val="24"/>
          <w:szCs w:val="24"/>
          <w:lang w:val="fr-FR"/>
        </w:rPr>
        <w:t>competenţe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cheie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educaţiei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cu</w:t>
      </w:r>
      <w:proofErr w:type="spellEnd"/>
      <w:r>
        <w:rPr>
          <w:sz w:val="24"/>
          <w:szCs w:val="24"/>
          <w:lang w:val="fr-FR"/>
        </w:rPr>
        <w:t xml:space="preserve"> accent </w:t>
      </w:r>
      <w:proofErr w:type="spellStart"/>
      <w:r>
        <w:rPr>
          <w:sz w:val="24"/>
          <w:szCs w:val="24"/>
          <w:lang w:val="fr-FR"/>
        </w:rPr>
        <w:t>pe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aptitudinile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şi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competenţele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lingvistice</w:t>
      </w:r>
      <w:proofErr w:type="spellEnd"/>
      <w:r>
        <w:rPr>
          <w:sz w:val="24"/>
          <w:szCs w:val="24"/>
          <w:lang w:val="fr-FR"/>
        </w:rPr>
        <w:t xml:space="preserve"> (</w:t>
      </w:r>
      <w:proofErr w:type="spellStart"/>
      <w:r>
        <w:rPr>
          <w:sz w:val="24"/>
          <w:szCs w:val="24"/>
          <w:lang w:val="fr-FR"/>
        </w:rPr>
        <w:t>atât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limba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maternă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cât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şi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limba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străină</w:t>
      </w:r>
      <w:proofErr w:type="spellEnd"/>
      <w:r>
        <w:rPr>
          <w:sz w:val="24"/>
          <w:szCs w:val="24"/>
          <w:lang w:val="fr-FR"/>
        </w:rPr>
        <w:t xml:space="preserve">), </w:t>
      </w:r>
      <w:proofErr w:type="spellStart"/>
      <w:r>
        <w:rPr>
          <w:sz w:val="24"/>
          <w:szCs w:val="24"/>
          <w:lang w:val="fr-FR"/>
        </w:rPr>
        <w:t>pe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aptitudinile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şi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competenţele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civice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interpersonale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interculturale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şi</w:t>
      </w:r>
      <w:proofErr w:type="spellEnd"/>
      <w:r>
        <w:rPr>
          <w:sz w:val="24"/>
          <w:szCs w:val="24"/>
          <w:lang w:val="fr-FR"/>
        </w:rPr>
        <w:t xml:space="preserve"> sociale, </w:t>
      </w:r>
      <w:proofErr w:type="spellStart"/>
      <w:r>
        <w:rPr>
          <w:sz w:val="24"/>
          <w:szCs w:val="24"/>
          <w:lang w:val="fr-FR"/>
        </w:rPr>
        <w:t>pe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aptitudinile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şi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competenţele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exprimare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culturală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pe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cele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ştiinţifice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şi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tehnologice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precum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şi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aptitudinile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şi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competenţele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învăţare</w:t>
      </w:r>
      <w:proofErr w:type="spellEnd"/>
      <w:r>
        <w:rPr>
          <w:sz w:val="24"/>
          <w:szCs w:val="24"/>
          <w:lang w:val="fr-FR"/>
        </w:rPr>
        <w:t xml:space="preserve">. </w:t>
      </w:r>
      <w:proofErr w:type="spellStart"/>
      <w:r>
        <w:rPr>
          <w:sz w:val="24"/>
          <w:szCs w:val="24"/>
          <w:lang w:val="fr-FR"/>
        </w:rPr>
        <w:t>Evaluarea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elevilor</w:t>
      </w:r>
      <w:proofErr w:type="spellEnd"/>
      <w:r>
        <w:rPr>
          <w:sz w:val="24"/>
          <w:szCs w:val="24"/>
          <w:lang w:val="fr-FR"/>
        </w:rPr>
        <w:t xml:space="preserve"> la </w:t>
      </w:r>
      <w:proofErr w:type="spellStart"/>
      <w:r>
        <w:rPr>
          <w:sz w:val="24"/>
          <w:szCs w:val="24"/>
          <w:lang w:val="fr-FR"/>
        </w:rPr>
        <w:t>aceste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cursuri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opţionale</w:t>
      </w:r>
      <w:proofErr w:type="spellEnd"/>
      <w:r>
        <w:rPr>
          <w:sz w:val="24"/>
          <w:szCs w:val="24"/>
          <w:lang w:val="fr-FR"/>
        </w:rPr>
        <w:t xml:space="preserve"> se face </w:t>
      </w:r>
      <w:proofErr w:type="spellStart"/>
      <w:proofErr w:type="gramStart"/>
      <w:r>
        <w:rPr>
          <w:sz w:val="24"/>
          <w:szCs w:val="24"/>
          <w:lang w:val="fr-FR"/>
        </w:rPr>
        <w:t>prin</w:t>
      </w:r>
      <w:proofErr w:type="spellEnd"/>
      <w:r>
        <w:rPr>
          <w:sz w:val="24"/>
          <w:szCs w:val="24"/>
          <w:lang w:val="fr-FR"/>
        </w:rPr>
        <w:t>:</w:t>
      </w:r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jocuri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didactice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dialoguri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perechi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proiecte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concursuri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jocuri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rol</w:t>
      </w:r>
      <w:proofErr w:type="spellEnd"/>
      <w:r>
        <w:rPr>
          <w:sz w:val="24"/>
          <w:szCs w:val="24"/>
          <w:lang w:val="fr-FR"/>
        </w:rPr>
        <w:t>, etc.</w:t>
      </w:r>
    </w:p>
    <w:p>
      <w:pPr>
        <w:spacing w:after="0" w:line="240" w:lineRule="auto"/>
        <w:jc w:val="both"/>
        <w:rPr>
          <w:sz w:val="24"/>
          <w:szCs w:val="24"/>
          <w:lang w:val="fr-FR"/>
        </w:rPr>
      </w:pPr>
    </w:p>
    <w:p>
      <w:pPr>
        <w:spacing w:after="0" w:line="240" w:lineRule="auto"/>
        <w:jc w:val="both"/>
        <w:rPr>
          <w:sz w:val="24"/>
          <w:szCs w:val="24"/>
          <w:lang w:val="fr-FR"/>
        </w:rPr>
      </w:pPr>
    </w:p>
    <w:tbl>
      <w:tblPr>
        <w:tblStyle w:val="TableGrid"/>
        <w:tblW w:w="8652" w:type="dxa"/>
        <w:tblInd w:w="137" w:type="dxa"/>
        <w:tblLook w:val="04A0" w:firstRow="1" w:lastRow="0" w:firstColumn="1" w:lastColumn="0" w:noHBand="0" w:noVBand="1"/>
      </w:tblPr>
      <w:tblGrid>
        <w:gridCol w:w="1696"/>
        <w:gridCol w:w="2982"/>
        <w:gridCol w:w="3974"/>
      </w:tblGrid>
      <w:tr>
        <w:tc>
          <w:tcPr>
            <w:tcW w:w="1696" w:type="dxa"/>
          </w:tcPr>
          <w:p>
            <w:pPr>
              <w:jc w:val="both"/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C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fr-FR"/>
              </w:rPr>
              <w:t>lasa</w:t>
            </w:r>
            <w:proofErr w:type="spellEnd"/>
          </w:p>
        </w:tc>
        <w:tc>
          <w:tcPr>
            <w:tcW w:w="2982" w:type="dxa"/>
          </w:tcPr>
          <w:p>
            <w:pPr>
              <w:jc w:val="both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Disciplina</w:t>
            </w:r>
          </w:p>
        </w:tc>
        <w:tc>
          <w:tcPr>
            <w:tcW w:w="3974" w:type="dxa"/>
          </w:tcPr>
          <w:p>
            <w:pPr>
              <w:jc w:val="both"/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fr-FR"/>
              </w:rPr>
              <w:t>Denumire</w:t>
            </w:r>
            <w:proofErr w:type="spellEnd"/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fr-FR"/>
              </w:rPr>
              <w:t>opțional</w:t>
            </w:r>
            <w:proofErr w:type="spellEnd"/>
          </w:p>
        </w:tc>
      </w:tr>
      <w:tr>
        <w:tc>
          <w:tcPr>
            <w:tcW w:w="1696" w:type="dxa"/>
          </w:tcPr>
          <w:p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CPA, CPB, CPC</w:t>
            </w:r>
          </w:p>
        </w:tc>
        <w:tc>
          <w:tcPr>
            <w:tcW w:w="2982" w:type="dxa"/>
          </w:tcPr>
          <w:p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Lb. </w:t>
            </w:r>
            <w:proofErr w:type="spellStart"/>
            <w:r>
              <w:rPr>
                <w:sz w:val="24"/>
                <w:szCs w:val="24"/>
                <w:lang w:val="fr-FR"/>
              </w:rPr>
              <w:t>engleză</w:t>
            </w:r>
            <w:proofErr w:type="spellEnd"/>
          </w:p>
        </w:tc>
        <w:tc>
          <w:tcPr>
            <w:tcW w:w="3974" w:type="dxa"/>
          </w:tcPr>
          <w:p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Have fun </w:t>
            </w:r>
            <w:proofErr w:type="spellStart"/>
            <w:r>
              <w:rPr>
                <w:sz w:val="24"/>
                <w:szCs w:val="24"/>
                <w:lang w:val="fr-FR"/>
              </w:rPr>
              <w:t>with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english</w:t>
            </w:r>
            <w:proofErr w:type="spellEnd"/>
            <w:r>
              <w:rPr>
                <w:sz w:val="24"/>
                <w:szCs w:val="24"/>
                <w:lang w:val="fr-FR"/>
              </w:rPr>
              <w:t> !</w:t>
            </w:r>
          </w:p>
        </w:tc>
      </w:tr>
      <w:tr>
        <w:tc>
          <w:tcPr>
            <w:tcW w:w="1696" w:type="dxa"/>
          </w:tcPr>
          <w:p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1A, 1B, 1C</w:t>
            </w:r>
          </w:p>
        </w:tc>
        <w:tc>
          <w:tcPr>
            <w:tcW w:w="2982" w:type="dxa"/>
          </w:tcPr>
          <w:p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Lb. </w:t>
            </w:r>
            <w:proofErr w:type="spellStart"/>
            <w:r>
              <w:rPr>
                <w:sz w:val="24"/>
                <w:szCs w:val="24"/>
                <w:lang w:val="fr-FR"/>
              </w:rPr>
              <w:t>engleză</w:t>
            </w:r>
            <w:proofErr w:type="spellEnd"/>
          </w:p>
        </w:tc>
        <w:tc>
          <w:tcPr>
            <w:tcW w:w="3974" w:type="dxa"/>
          </w:tcPr>
          <w:p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English Is Fun !</w:t>
            </w:r>
          </w:p>
        </w:tc>
      </w:tr>
      <w:tr>
        <w:tc>
          <w:tcPr>
            <w:tcW w:w="1696" w:type="dxa"/>
          </w:tcPr>
          <w:p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2A, 2B, 2C</w:t>
            </w:r>
          </w:p>
        </w:tc>
        <w:tc>
          <w:tcPr>
            <w:tcW w:w="2982" w:type="dxa"/>
          </w:tcPr>
          <w:p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Lb. </w:t>
            </w:r>
            <w:proofErr w:type="spellStart"/>
            <w:r>
              <w:rPr>
                <w:sz w:val="24"/>
                <w:szCs w:val="24"/>
                <w:lang w:val="fr-FR"/>
              </w:rPr>
              <w:t>engleză</w:t>
            </w:r>
            <w:proofErr w:type="spellEnd"/>
          </w:p>
        </w:tc>
        <w:tc>
          <w:tcPr>
            <w:tcW w:w="3974" w:type="dxa"/>
          </w:tcPr>
          <w:p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English Is Fun !</w:t>
            </w:r>
          </w:p>
        </w:tc>
      </w:tr>
      <w:tr>
        <w:tc>
          <w:tcPr>
            <w:tcW w:w="1696" w:type="dxa"/>
          </w:tcPr>
          <w:p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3A, 3B, 3C</w:t>
            </w:r>
          </w:p>
        </w:tc>
        <w:tc>
          <w:tcPr>
            <w:tcW w:w="2982" w:type="dxa"/>
          </w:tcPr>
          <w:p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Lb. </w:t>
            </w:r>
            <w:proofErr w:type="spellStart"/>
            <w:r>
              <w:rPr>
                <w:sz w:val="24"/>
                <w:szCs w:val="24"/>
                <w:lang w:val="fr-FR"/>
              </w:rPr>
              <w:t>engleză</w:t>
            </w:r>
            <w:proofErr w:type="spellEnd"/>
          </w:p>
        </w:tc>
        <w:tc>
          <w:tcPr>
            <w:tcW w:w="3974" w:type="dxa"/>
          </w:tcPr>
          <w:p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A Bit of </w:t>
            </w:r>
            <w:proofErr w:type="spellStart"/>
            <w:r>
              <w:rPr>
                <w:sz w:val="24"/>
                <w:szCs w:val="24"/>
                <w:lang w:val="fr-FR"/>
              </w:rPr>
              <w:t>Grammar</w:t>
            </w:r>
            <w:proofErr w:type="spellEnd"/>
          </w:p>
        </w:tc>
      </w:tr>
      <w:tr>
        <w:tc>
          <w:tcPr>
            <w:tcW w:w="1696" w:type="dxa"/>
          </w:tcPr>
          <w:p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4A, 4B, 4C</w:t>
            </w:r>
          </w:p>
        </w:tc>
        <w:tc>
          <w:tcPr>
            <w:tcW w:w="2982" w:type="dxa"/>
          </w:tcPr>
          <w:p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Lb. </w:t>
            </w:r>
            <w:proofErr w:type="spellStart"/>
            <w:r>
              <w:rPr>
                <w:sz w:val="24"/>
                <w:szCs w:val="24"/>
                <w:lang w:val="fr-FR"/>
              </w:rPr>
              <w:t>engleză</w:t>
            </w:r>
            <w:proofErr w:type="spellEnd"/>
          </w:p>
        </w:tc>
        <w:tc>
          <w:tcPr>
            <w:tcW w:w="3974" w:type="dxa"/>
          </w:tcPr>
          <w:p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A Bit of </w:t>
            </w:r>
            <w:proofErr w:type="spellStart"/>
            <w:r>
              <w:rPr>
                <w:sz w:val="24"/>
                <w:szCs w:val="24"/>
                <w:lang w:val="fr-FR"/>
              </w:rPr>
              <w:t>Grammar</w:t>
            </w:r>
            <w:proofErr w:type="spellEnd"/>
          </w:p>
        </w:tc>
      </w:tr>
      <w:tr>
        <w:tc>
          <w:tcPr>
            <w:tcW w:w="1696" w:type="dxa"/>
          </w:tcPr>
          <w:p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5A, 5B, 5C</w:t>
            </w:r>
          </w:p>
        </w:tc>
        <w:tc>
          <w:tcPr>
            <w:tcW w:w="2982" w:type="dxa"/>
          </w:tcPr>
          <w:p>
            <w:pPr>
              <w:jc w:val="both"/>
              <w:rPr>
                <w:sz w:val="24"/>
                <w:szCs w:val="24"/>
                <w:lang w:val="fr-FR"/>
              </w:rPr>
            </w:pPr>
            <w:proofErr w:type="spellStart"/>
            <w:r>
              <w:t>Opțional</w:t>
            </w:r>
            <w:proofErr w:type="spellEnd"/>
            <w:r>
              <w:t xml:space="preserve"> </w:t>
            </w:r>
            <w:proofErr w:type="spellStart"/>
            <w:r>
              <w:t>integrat</w:t>
            </w:r>
            <w:proofErr w:type="spellEnd"/>
            <w:r>
              <w:t xml:space="preserve"> la </w:t>
            </w:r>
            <w:proofErr w:type="spellStart"/>
            <w:r>
              <w:t>nivelul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multor</w:t>
            </w:r>
            <w:proofErr w:type="spellEnd"/>
            <w:r>
              <w:t xml:space="preserve"> </w:t>
            </w:r>
            <w:proofErr w:type="spellStart"/>
            <w:r>
              <w:t>arii</w:t>
            </w:r>
            <w:proofErr w:type="spellEnd"/>
            <w:r>
              <w:t xml:space="preserve"> </w:t>
            </w:r>
            <w:proofErr w:type="spellStart"/>
            <w:r>
              <w:t>curriculare</w:t>
            </w:r>
            <w:proofErr w:type="spellEnd"/>
          </w:p>
        </w:tc>
        <w:tc>
          <w:tcPr>
            <w:tcW w:w="3974" w:type="dxa"/>
          </w:tcPr>
          <w:p>
            <w:pPr>
              <w:jc w:val="both"/>
              <w:rPr>
                <w:sz w:val="24"/>
                <w:szCs w:val="24"/>
                <w:lang w:val="fr-FR"/>
              </w:rPr>
            </w:pPr>
            <w:proofErr w:type="spellStart"/>
            <w:r>
              <w:t>Educaţia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sănătate-educaţie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viaţă</w:t>
            </w:r>
            <w:proofErr w:type="spellEnd"/>
          </w:p>
        </w:tc>
      </w:tr>
      <w:tr>
        <w:tc>
          <w:tcPr>
            <w:tcW w:w="1696" w:type="dxa"/>
          </w:tcPr>
          <w:p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6A, 6B</w:t>
            </w:r>
          </w:p>
        </w:tc>
        <w:tc>
          <w:tcPr>
            <w:tcW w:w="2982" w:type="dxa"/>
          </w:tcPr>
          <w:p>
            <w:pPr>
              <w:jc w:val="both"/>
              <w:rPr>
                <w:sz w:val="24"/>
                <w:szCs w:val="24"/>
                <w:lang w:val="fr-FR"/>
              </w:rPr>
            </w:pPr>
            <w:proofErr w:type="spellStart"/>
            <w:r>
              <w:t>Opțional</w:t>
            </w:r>
            <w:proofErr w:type="spellEnd"/>
            <w:r>
              <w:t xml:space="preserve"> </w:t>
            </w:r>
            <w:proofErr w:type="spellStart"/>
            <w:r>
              <w:t>integrat</w:t>
            </w:r>
            <w:proofErr w:type="spellEnd"/>
            <w:r>
              <w:t xml:space="preserve"> la </w:t>
            </w:r>
            <w:proofErr w:type="spellStart"/>
            <w:r>
              <w:t>nivelul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multor</w:t>
            </w:r>
            <w:proofErr w:type="spellEnd"/>
            <w:r>
              <w:t xml:space="preserve"> </w:t>
            </w:r>
            <w:proofErr w:type="spellStart"/>
            <w:r>
              <w:t>arii</w:t>
            </w:r>
            <w:proofErr w:type="spellEnd"/>
            <w:r>
              <w:t xml:space="preserve"> </w:t>
            </w:r>
            <w:proofErr w:type="spellStart"/>
            <w:r>
              <w:t>curriculare</w:t>
            </w:r>
            <w:proofErr w:type="spellEnd"/>
          </w:p>
        </w:tc>
        <w:tc>
          <w:tcPr>
            <w:tcW w:w="3974" w:type="dxa"/>
          </w:tcPr>
          <w:p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Matematică și științe în societatea cunoașterii</w:t>
            </w:r>
          </w:p>
        </w:tc>
      </w:tr>
      <w:tr>
        <w:tc>
          <w:tcPr>
            <w:tcW w:w="1696" w:type="dxa"/>
          </w:tcPr>
          <w:p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7A, 7B, 7C</w:t>
            </w:r>
          </w:p>
        </w:tc>
        <w:tc>
          <w:tcPr>
            <w:tcW w:w="2982" w:type="dxa"/>
          </w:tcPr>
          <w:p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Lb. </w:t>
            </w:r>
            <w:proofErr w:type="spellStart"/>
            <w:r>
              <w:rPr>
                <w:sz w:val="24"/>
                <w:szCs w:val="24"/>
                <w:lang w:val="fr-FR"/>
              </w:rPr>
              <w:t>română</w:t>
            </w:r>
            <w:proofErr w:type="spellEnd"/>
          </w:p>
        </w:tc>
        <w:tc>
          <w:tcPr>
            <w:tcW w:w="3974" w:type="dxa"/>
          </w:tcPr>
          <w:p>
            <w:pPr>
              <w:jc w:val="both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Lectura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și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abilitățile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fr-FR"/>
              </w:rPr>
              <w:t>viață</w:t>
            </w:r>
            <w:proofErr w:type="spellEnd"/>
            <w:r>
              <w:rPr>
                <w:sz w:val="24"/>
                <w:szCs w:val="24"/>
                <w:lang w:val="fr-FR"/>
              </w:rPr>
              <w:t>.</w:t>
            </w:r>
          </w:p>
        </w:tc>
      </w:tr>
      <w:tr>
        <w:tc>
          <w:tcPr>
            <w:tcW w:w="1696" w:type="dxa"/>
          </w:tcPr>
          <w:p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8A, 8B</w:t>
            </w:r>
          </w:p>
        </w:tc>
        <w:tc>
          <w:tcPr>
            <w:tcW w:w="2982" w:type="dxa"/>
          </w:tcPr>
          <w:p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Lb. </w:t>
            </w:r>
            <w:proofErr w:type="spellStart"/>
            <w:r>
              <w:rPr>
                <w:sz w:val="24"/>
                <w:szCs w:val="24"/>
                <w:lang w:val="fr-FR"/>
              </w:rPr>
              <w:t>română</w:t>
            </w:r>
            <w:proofErr w:type="spellEnd"/>
          </w:p>
        </w:tc>
        <w:tc>
          <w:tcPr>
            <w:tcW w:w="3974" w:type="dxa"/>
          </w:tcPr>
          <w:p>
            <w:pPr>
              <w:jc w:val="both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Lectura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și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abilitățile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fr-FR"/>
              </w:rPr>
              <w:t>viață</w:t>
            </w:r>
            <w:proofErr w:type="spellEnd"/>
            <w:r>
              <w:rPr>
                <w:sz w:val="24"/>
                <w:szCs w:val="24"/>
                <w:lang w:val="fr-FR"/>
              </w:rPr>
              <w:t>.</w:t>
            </w:r>
          </w:p>
        </w:tc>
      </w:tr>
    </w:tbl>
    <w:p>
      <w:pPr>
        <w:spacing w:after="0" w:line="240" w:lineRule="auto"/>
        <w:jc w:val="both"/>
        <w:rPr>
          <w:sz w:val="24"/>
          <w:szCs w:val="24"/>
          <w:lang w:val="fr-FR"/>
        </w:rPr>
      </w:pPr>
    </w:p>
    <w:sectPr>
      <w:pgSz w:w="11909" w:h="16834" w:code="9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56339-A82E-41A1-B00C-C56CC383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ala.92@s3.ismb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5</cp:revision>
  <dcterms:created xsi:type="dcterms:W3CDTF">2021-02-11T13:29:00Z</dcterms:created>
  <dcterms:modified xsi:type="dcterms:W3CDTF">2021-02-19T12:33:00Z</dcterms:modified>
</cp:coreProperties>
</file>